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320" w:lineRule="exact"/>
        <w:rPr>
          <w:rFonts w:hint="default" w:ascii="メイリオ" w:hAnsi="メイリオ" w:eastAsia="メイリオ"/>
          <w:b w:val="1"/>
        </w:rPr>
      </w:pPr>
      <w:r>
        <w:rPr>
          <w:rFonts w:hint="default" w:ascii="メイリオ" w:hAnsi="メイリオ" w:eastAsia="メイリオ"/>
          <w:b w:val="1"/>
        </w:rPr>
        <mc:AlternateContent>
          <mc:Choice Requires="wps">
            <w:drawing>
              <wp:anchor distT="0" distB="0" distL="114300" distR="114300" simplePos="0" relativeHeight="6" behindDoc="0" locked="0" layoutInCell="1" hidden="0" allowOverlap="1">
                <wp:simplePos x="0" y="0"/>
                <wp:positionH relativeFrom="column">
                  <wp:posOffset>8185785</wp:posOffset>
                </wp:positionH>
                <wp:positionV relativeFrom="paragraph">
                  <wp:posOffset>-318135</wp:posOffset>
                </wp:positionV>
                <wp:extent cx="928370" cy="1223645"/>
                <wp:effectExtent l="635" t="635" r="29845" b="10795"/>
                <wp:wrapNone/>
                <wp:docPr id="1026" name="Text Box 94"/>
                <a:graphic xmlns:a="http://schemas.openxmlformats.org/drawingml/2006/main">
                  <a:graphicData uri="http://schemas.microsoft.com/office/word/2010/wordprocessingShape">
                    <wps:wsp>
                      <wps:cNvPr id="1026" name="Text Box 94"/>
                      <wps:cNvSpPr txBox="1">
                        <a:spLocks noChangeArrowheads="1"/>
                      </wps:cNvSpPr>
                      <wps:spPr>
                        <a:xfrm>
                          <a:off x="0" y="0"/>
                          <a:ext cx="928370" cy="122364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別紙３－１</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style="v-text-anchor:top;mso-wrap-distance-top:0pt;mso-wrap-distance-right:9pt;mso-wrap-distance-left:9pt;mso-wrap-distance-bottom:0pt;margin-top:-25.05pt;margin-left:644.54pt;mso-position-horizontal-relative:text;mso-position-vertical-relative:text;position:absolute;height:96.35pt;width:73.09pt;z-index:6;" o:spid="_x0000_s1026" o:allowincell="t" o:allowoverlap="t" filled="t" fillcolor="#ffffff" stroked="t" strokecolor="#000000" strokeweight="0.75pt" o:spt="202" type="#_x0000_t202">
                <v:fill/>
                <v:stroke miterlimit="8" filltype="solid"/>
                <v:textbox style="layout-flow:horizontal;mso-fit-shape-to-text:t;" inset="2.5399999999999996mm,1.2699999999999998mm,2.5399999999999996mm,1.269999999999999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別紙３－１</w:t>
                      </w:r>
                    </w:p>
                  </w:txbxContent>
                </v:textbox>
                <v:imagedata o:title=""/>
                <w10:wrap type="none" anchorx="text" anchory="text"/>
              </v:shape>
            </w:pict>
          </mc:Fallback>
        </mc:AlternateContent>
      </w:r>
      <w:r>
        <w:rPr>
          <w:rFonts w:hint="default" w:ascii="メイリオ" w:hAnsi="メイリオ" w:eastAsia="メイリオ"/>
          <w:b w:val="1"/>
          <w:sz w:val="24"/>
        </w:rPr>
        <mc:AlternateContent>
          <mc:Choice Requires="wps">
            <w:drawing>
              <wp:anchor distT="0" distB="0" distL="114300" distR="114300" simplePos="0" relativeHeight="2" behindDoc="0" locked="0" layoutInCell="1" hidden="0" allowOverlap="1">
                <wp:simplePos x="0" y="0"/>
                <wp:positionH relativeFrom="column">
                  <wp:posOffset>2950845</wp:posOffset>
                </wp:positionH>
                <wp:positionV relativeFrom="paragraph">
                  <wp:posOffset>362585</wp:posOffset>
                </wp:positionV>
                <wp:extent cx="2807970" cy="431800"/>
                <wp:effectExtent l="635" t="635" r="29845" b="10795"/>
                <wp:wrapNone/>
                <wp:docPr id="1027" name="Text Box 89"/>
                <a:graphic xmlns:a="http://schemas.openxmlformats.org/drawingml/2006/main">
                  <a:graphicData uri="http://schemas.microsoft.com/office/word/2010/wordprocessingShape">
                    <wps:wsp>
                      <wps:cNvPr id="1027" name="Text Box 89"/>
                      <wps:cNvSpPr txBox="1">
                        <a:spLocks noChangeArrowheads="1"/>
                      </wps:cNvSpPr>
                      <wps:spPr>
                        <a:xfrm>
                          <a:off x="0" y="0"/>
                          <a:ext cx="2807970" cy="431800"/>
                        </a:xfrm>
                        <a:prstGeom prst="rect">
                          <a:avLst/>
                        </a:prstGeom>
                        <a:solidFill>
                          <a:srgbClr val="FFFFFF"/>
                        </a:solidFill>
                        <a:ln w="9525">
                          <a:solidFill>
                            <a:schemeClr val="bg1">
                              <a:lumMod val="50000"/>
                            </a:schemeClr>
                          </a:solidFill>
                          <a:miter lim="800000"/>
                          <a:headEnd/>
                          <a:tailEnd/>
                        </a:ln>
                      </wps:spPr>
                      <wps:txbx>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89" style="v-text-anchor:top;mso-wrap-distance-top:0pt;mso-wrap-distance-right:9pt;mso-wrap-distance-left:9pt;mso-wrap-distance-bottom:0pt;margin-top:28.55pt;margin-left:232.35pt;mso-position-horizontal-relative:text;mso-position-vertical-relative:text;position:absolute;height:34pt;width:221.1pt;z-index:2;" o:spid="_x0000_s1027" o:allowincell="t" o:allowoverlap="t" filled="t" fillcolor="#ffffff" stroked="t" strokecolor="#808080 [1612]" strokeweight="0.75pt" o:spt="202" type="#_x0000_t202">
                <v:fill/>
                <v:stroke miterlimit="8" filltype="solid"/>
                <v:textbox style="layout-flow:horizontal;" inset="2.5399999999999996mm,1.2699999999999998mm,2.5399999999999996mm,1.2699999999999998mm">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氏名：</w:t>
                      </w:r>
                    </w:p>
                  </w:txbxContent>
                </v:textbox>
                <v:imagedata o:title=""/>
                <w10:wrap type="none" anchorx="text" anchory="text"/>
              </v:shape>
            </w:pict>
          </mc:Fallback>
        </mc:AlternateContent>
      </w:r>
      <w:r>
        <w:rPr>
          <w:rFonts w:hint="default" w:ascii="メイリオ" w:hAnsi="メイリオ" w:eastAsia="メイリオ"/>
          <w:b w:val="1"/>
          <w:sz w:val="24"/>
        </w:rPr>
        <mc:AlternateContent>
          <mc:Choice Requires="wps">
            <w:drawing>
              <wp:anchor distT="0" distB="0" distL="114300" distR="114300" simplePos="0" relativeHeight="3" behindDoc="0" locked="0" layoutInCell="1" hidden="0" allowOverlap="1">
                <wp:simplePos x="0" y="0"/>
                <wp:positionH relativeFrom="column">
                  <wp:posOffset>7620</wp:posOffset>
                </wp:positionH>
                <wp:positionV relativeFrom="paragraph">
                  <wp:posOffset>362585</wp:posOffset>
                </wp:positionV>
                <wp:extent cx="2807970" cy="431800"/>
                <wp:effectExtent l="635" t="635" r="29845" b="10795"/>
                <wp:wrapNone/>
                <wp:docPr id="1028" name="Text Box 90"/>
                <a:graphic xmlns:a="http://schemas.openxmlformats.org/drawingml/2006/main">
                  <a:graphicData uri="http://schemas.microsoft.com/office/word/2010/wordprocessingShape">
                    <wps:wsp>
                      <wps:cNvPr id="1028" name="Text Box 90"/>
                      <wps:cNvSpPr txBox="1">
                        <a:spLocks noChangeArrowheads="1"/>
                      </wps:cNvSpPr>
                      <wps:spPr>
                        <a:xfrm>
                          <a:off x="0" y="0"/>
                          <a:ext cx="2807970" cy="431800"/>
                        </a:xfrm>
                        <a:prstGeom prst="rect">
                          <a:avLst/>
                        </a:prstGeom>
                        <a:solidFill>
                          <a:srgbClr val="FFFFFF"/>
                        </a:solidFill>
                        <a:ln w="9525">
                          <a:solidFill>
                            <a:schemeClr val="bg1">
                              <a:lumMod val="50000"/>
                            </a:schemeClr>
                          </a:solidFill>
                          <a:miter lim="800000"/>
                          <a:headEnd/>
                          <a:tailEnd/>
                        </a:ln>
                      </wps:spPr>
                      <wps:txbx>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実施日：西暦　　　　　年　　　月　　　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0" style="v-text-anchor:top;mso-wrap-distance-top:0pt;mso-wrap-distance-right:9pt;mso-wrap-distance-left:9pt;mso-wrap-distance-bottom:0pt;margin-top:28.55pt;margin-left:0.6pt;mso-position-horizontal-relative:text;mso-position-vertical-relative:text;position:absolute;height:34pt;width:221.1pt;z-index:3;" o:spid="_x0000_s1028" o:allowincell="t" o:allowoverlap="t" filled="t" fillcolor="#ffffff" stroked="t" strokecolor="#808080 [1612]" strokeweight="0.75pt" o:spt="202" type="#_x0000_t202">
                <v:fill/>
                <v:stroke miterlimit="8" filltype="solid"/>
                <v:textbox style="layout-flow:horizontal;" inset="2.5399999999999996mm,1.2699999999999998mm,2.5399999999999996mm,1.2699999999999998mm">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実施日：西暦　　　　　年　　　月　　　日</w:t>
                      </w:r>
                    </w:p>
                  </w:txbxContent>
                </v:textbox>
                <v:imagedata o:title=""/>
                <w10:wrap type="none" anchorx="text" anchory="text"/>
              </v:shape>
            </w:pict>
          </mc:Fallback>
        </mc:AlternateContent>
      </w:r>
      <w:bookmarkStart w:id="0" w:name="_Toc413155789"/>
      <w:r>
        <w:rPr>
          <w:rFonts w:hint="eastAsia" w:ascii="メイリオ" w:hAnsi="メイリオ" w:eastAsia="メイリオ"/>
          <w:b w:val="1"/>
        </w:rPr>
        <w:t xml:space="preserve">&lt; </w:t>
      </w:r>
      <w:r>
        <w:rPr>
          <w:rFonts w:hint="eastAsia" w:ascii="メイリオ" w:hAnsi="メイリオ" w:eastAsia="メイリオ"/>
          <w:b w:val="1"/>
        </w:rPr>
        <w:t>従業者等自己評価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bookmarkStart w:id="1" w:name="_GoBack"/>
      <w:bookmarkEnd w:id="1"/>
    </w:p>
    <w:p>
      <w:pPr>
        <w:pStyle w:val="18"/>
        <w:rPr>
          <w:rFonts w:hint="default"/>
        </w:rPr>
      </w:pPr>
    </w:p>
    <w:p>
      <w:pPr>
        <w:pStyle w:val="18"/>
        <w:rPr>
          <w:rFonts w:hint="default"/>
        </w:rPr>
      </w:pPr>
    </w:p>
    <w:p>
      <w:pPr>
        <w:pStyle w:val="18"/>
        <w:rPr>
          <w:rFonts w:hint="default"/>
        </w:rPr>
      </w:pPr>
    </w:p>
    <w:p>
      <w:pPr>
        <w:pStyle w:val="18"/>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4570095</wp:posOffset>
                </wp:positionH>
                <wp:positionV relativeFrom="paragraph">
                  <wp:posOffset>60325</wp:posOffset>
                </wp:positionV>
                <wp:extent cx="4427855" cy="1403985"/>
                <wp:effectExtent l="635" t="635" r="29845" b="10795"/>
                <wp:wrapNone/>
                <wp:docPr id="1029" name="Text Box 92"/>
                <a:graphic xmlns:a="http://schemas.openxmlformats.org/drawingml/2006/main">
                  <a:graphicData uri="http://schemas.microsoft.com/office/word/2010/wordprocessingShape">
                    <wps:wsp>
                      <wps:cNvPr id="1029" name="Text Box 92"/>
                      <wps:cNvSpPr txBox="1">
                        <a:spLocks noChangeArrowheads="1"/>
                      </wps:cNvSpPr>
                      <wps:spPr>
                        <a:xfrm>
                          <a:off x="0" y="0"/>
                          <a:ext cx="4427855" cy="1403985"/>
                        </a:xfrm>
                        <a:prstGeom prst="rect">
                          <a:avLst/>
                        </a:prstGeom>
                        <a:solidFill>
                          <a:srgbClr val="FFFFFF"/>
                        </a:solidFill>
                        <a:ln w="9525">
                          <a:solidFill>
                            <a:schemeClr val="bg1">
                              <a:lumMod val="50000"/>
                            </a:schemeClr>
                          </a:solidFill>
                          <a:miter lim="800000"/>
                          <a:headEnd/>
                          <a:tailEnd/>
                        </a:ln>
                      </wps:spPr>
                      <wps:txbx>
                        <w:txbxContent>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できていない</w:t>
                            </w:r>
                            <w:r>
                              <w:rPr>
                                <w:rFonts w:hint="eastAsia" w:asciiTheme="majorEastAsia" w:hAnsiTheme="majorEastAsia" w:eastAsiaTheme="majorEastAsia"/>
                                <w:sz w:val="20"/>
                              </w:rPr>
                              <w:t>」と感じた点と、改善に向けた取組案</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2" style="v-text-anchor:top;mso-wrap-distance-top:0pt;mso-wrap-distance-right:9pt;mso-wrap-distance-left:9pt;mso-wrap-distance-bottom:0pt;margin-top:4.75pt;margin-left:359.85pt;mso-position-horizontal-relative:text;mso-position-vertical-relative:text;position:absolute;height:110.55pt;width:348.65pt;z-index:5;" o:spid="_x0000_s1029" o:allowincell="t" o:allowoverlap="t" filled="t" fillcolor="#ffffff" stroked="t" strokecolor="#808080 [1612]" strokeweight="0.75pt" o:spt="202" type="#_x0000_t202">
                <v:fill/>
                <v:stroke miterlimit="8" filltype="solid"/>
                <v:textbox style="layout-flow:horizontal;" inset="2.5399999999999996mm,1.2699999999999998mm,2.5399999999999996mm,1.2699999999999998mm">
                  <w:txbxContent>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できていない</w:t>
                      </w:r>
                      <w:r>
                        <w:rPr>
                          <w:rFonts w:hint="eastAsia" w:asciiTheme="majorEastAsia" w:hAnsiTheme="majorEastAsia" w:eastAsiaTheme="majorEastAsia"/>
                          <w:sz w:val="20"/>
                        </w:rPr>
                        <w:t>」と感じた点と、改善に向けた取組案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7620</wp:posOffset>
                </wp:positionH>
                <wp:positionV relativeFrom="paragraph">
                  <wp:posOffset>60325</wp:posOffset>
                </wp:positionV>
                <wp:extent cx="4427855" cy="1403985"/>
                <wp:effectExtent l="635" t="635" r="29845" b="10795"/>
                <wp:wrapNone/>
                <wp:docPr id="1030" name="Text Box 91"/>
                <a:graphic xmlns:a="http://schemas.openxmlformats.org/drawingml/2006/main">
                  <a:graphicData uri="http://schemas.microsoft.com/office/word/2010/wordprocessingShape">
                    <wps:wsp>
                      <wps:cNvPr id="1030" name="Text Box 91"/>
                      <wps:cNvSpPr txBox="1">
                        <a:spLocks noChangeArrowheads="1"/>
                      </wps:cNvSpPr>
                      <wps:spPr>
                        <a:xfrm>
                          <a:off x="0" y="0"/>
                          <a:ext cx="4427855" cy="1403985"/>
                        </a:xfrm>
                        <a:prstGeom prst="rect">
                          <a:avLst/>
                        </a:prstGeom>
                        <a:solidFill>
                          <a:srgbClr val="FFFFFF"/>
                        </a:solidFill>
                        <a:ln w="9525">
                          <a:solidFill>
                            <a:schemeClr val="bg1">
                              <a:lumMod val="50000"/>
                            </a:schemeClr>
                          </a:solidFill>
                          <a:miter lim="800000"/>
                          <a:headEnd/>
                          <a:tailEnd/>
                        </a:ln>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できている</w:t>
                            </w:r>
                            <w:r>
                              <w:rPr>
                                <w:rFonts w:hint="eastAsia" w:asciiTheme="majorEastAsia" w:hAnsiTheme="majorEastAsia" w:eastAsiaTheme="majorEastAsia"/>
                                <w:sz w:val="20"/>
                              </w:rPr>
                              <w:t>」と感じた点や、日頃から特に力を入れている点</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1" style="v-text-anchor:top;mso-wrap-distance-top:0pt;mso-wrap-distance-right:9pt;mso-wrap-distance-left:9pt;mso-wrap-distance-bottom:0pt;margin-top:4.75pt;margin-left:0.6pt;mso-position-horizontal-relative:text;mso-position-vertical-relative:text;position:absolute;height:110.55pt;width:348.65pt;z-index:4;" o:spid="_x0000_s1030" o:allowincell="t" o:allowoverlap="t" filled="t" fillcolor="#ffffff" stroked="t" strokecolor="#808080 [1612]" strokeweight="0.75pt" o:spt="202" type="#_x0000_t202">
                <v:fill/>
                <v:stroke miterlimit="8" filltype="solid"/>
                <v:textbox style="layout-flow:horizontal;" inset="2.5399999999999996mm,1.2699999999999998mm,2.5399999999999996mm,1.2699999999999998mm">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できている</w:t>
                      </w:r>
                      <w:r>
                        <w:rPr>
                          <w:rFonts w:hint="eastAsia" w:asciiTheme="majorEastAsia" w:hAnsiTheme="majorEastAsia" w:eastAsiaTheme="majorEastAsia"/>
                          <w:sz w:val="20"/>
                        </w:rPr>
                        <w:t>」と感じた点や、日頃から特に力を入れている点</w:t>
                      </w:r>
                    </w:p>
                  </w:txbxContent>
                </v:textbox>
                <v:imagedata o:title=""/>
                <w10:wrap type="none" anchorx="text" anchory="text"/>
              </v:shape>
            </w:pict>
          </mc:Fallback>
        </mc:AlternateContent>
      </w:r>
    </w:p>
    <w:p>
      <w:pPr>
        <w:pStyle w:val="18"/>
        <w:rPr>
          <w:rFonts w:hint="default"/>
        </w:rPr>
      </w:pPr>
    </w:p>
    <w:p>
      <w:pPr>
        <w:pStyle w:val="18"/>
        <w:rPr>
          <w:rFonts w:hint="default"/>
        </w:rPr>
      </w:pPr>
    </w:p>
    <w:p>
      <w:pPr>
        <w:pStyle w:val="18"/>
        <w:rPr>
          <w:rFonts w:hint="default"/>
        </w:rPr>
      </w:pPr>
    </w:p>
    <w:p>
      <w:pPr>
        <w:pStyle w:val="18"/>
        <w:spacing w:after="175" w:afterLines="50" w:afterAutospacing="0"/>
        <w:rPr>
          <w:rFonts w:hint="default"/>
        </w:rPr>
      </w:pPr>
    </w:p>
    <w:p>
      <w:pPr>
        <w:pStyle w:val="18"/>
        <w:jc w:val="center"/>
        <w:rPr>
          <w:rFonts w:hint="default"/>
        </w:rPr>
      </w:pPr>
    </w:p>
    <w:p>
      <w:pPr>
        <w:pStyle w:val="18"/>
        <w:spacing w:after="175" w:afterLines="50" w:afterAutospacing="0"/>
        <w:rPr>
          <w:rFonts w:hint="default" w:ascii="ＭＳ ゴシック" w:hAnsi="ＭＳ ゴシック" w:eastAsia="ＭＳ ゴシック"/>
          <w:sz w:val="21"/>
        </w:rPr>
      </w:pPr>
      <w:r>
        <w:rPr>
          <w:rFonts w:hint="eastAsia" w:ascii="ＭＳ ゴシック" w:hAnsi="ＭＳ ゴシック" w:eastAsia="ＭＳ ゴシック"/>
          <w:sz w:val="21"/>
        </w:rPr>
        <w:t>※上記は、</w:t>
      </w:r>
      <w:r>
        <w:rPr>
          <w:rFonts w:hint="eastAsia" w:ascii="ＭＳ ゴシック" w:hAnsi="ＭＳ ゴシック" w:eastAsia="ＭＳ ゴシック"/>
          <w:sz w:val="21"/>
          <w:u w:val="single" w:color="auto"/>
        </w:rPr>
        <w:t>従業者等自己評価の後に</w:t>
      </w:r>
      <w:r>
        <w:rPr>
          <w:rFonts w:hint="eastAsia" w:ascii="ＭＳ ゴシック" w:hAnsi="ＭＳ ゴシック" w:eastAsia="ＭＳ ゴシック"/>
          <w:sz w:val="21"/>
        </w:rPr>
        <w:t>記入してください</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従業者等自己評価</w:t>
      </w:r>
      <w:r>
        <w:rPr>
          <w:rFonts w:hint="eastAsia" w:asciiTheme="majorEastAsia" w:hAnsiTheme="majorEastAsia" w:eastAsiaTheme="majorEastAsia"/>
        </w:rPr>
        <w:t>]</w:t>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8"/>
        <w:gridCol w:w="3058"/>
        <w:gridCol w:w="994"/>
        <w:gridCol w:w="26"/>
        <w:gridCol w:w="962"/>
        <w:gridCol w:w="17"/>
        <w:gridCol w:w="40"/>
        <w:gridCol w:w="928"/>
        <w:gridCol w:w="40"/>
        <w:gridCol w:w="51"/>
        <w:gridCol w:w="1022"/>
        <w:gridCol w:w="6569"/>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7"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37" w:type="pct"/>
            <w:gridSpan w:val="9"/>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従業者等自己評価</w:t>
            </w: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7"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4"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5"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78" w:type="pct"/>
            <w:gridSpan w:val="2"/>
            <w:tcBorders>
              <w:top w:val="single" w:color="808080" w:sz="4" w:space="0"/>
              <w:left w:val="single" w:color="8080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2686" w:type="pct"/>
            <w:gridSpan w:val="11"/>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2314"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7"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7"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7"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p>
            <w:pPr>
              <w:pStyle w:val="0"/>
              <w:rPr>
                <w:rFonts w:hint="default"/>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dashSmallGap"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dashSmallGap"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１．利用者等の特性・変化に応じた専門的なサービス提供</w:t>
            </w:r>
          </w:p>
        </w:tc>
        <w:tc>
          <w:tcPr>
            <w:tcW w:w="2314"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spacing w:val="1"/>
                <w:w w:val="70"/>
                <w:kern w:val="0"/>
                <w:fitText w:val="7008" w:id="1"/>
              </w:rPr>
              <w:t>①</w:t>
            </w:r>
            <w:r>
              <w:rPr>
                <w:rFonts w:hint="default"/>
                <w:spacing w:val="1"/>
                <w:w w:val="70"/>
                <w:kern w:val="0"/>
                <w:fitText w:val="7008" w:id="1"/>
              </w:rPr>
              <w:t xml:space="preserve"> </w:t>
            </w:r>
            <w:r>
              <w:rPr>
                <w:rFonts w:hint="eastAsia"/>
                <w:spacing w:val="1"/>
                <w:w w:val="70"/>
                <w:kern w:val="0"/>
                <w:fitText w:val="7008" w:id="1"/>
              </w:rPr>
              <w:t>利用者等の</w:t>
            </w:r>
            <w:r>
              <w:rPr>
                <w:rFonts w:hint="default"/>
                <w:spacing w:val="1"/>
                <w:w w:val="70"/>
                <w:kern w:val="0"/>
                <w:fitText w:val="7008" w:id="1"/>
              </w:rPr>
              <w:t>24</w:t>
            </w:r>
            <w:r>
              <w:rPr>
                <w:rFonts w:hint="eastAsia"/>
                <w:spacing w:val="1"/>
                <w:w w:val="70"/>
                <w:kern w:val="0"/>
                <w:fitText w:val="7008" w:id="1"/>
              </w:rPr>
              <w:t>時間の暮らし全体に着目した、介護・看護両面からの一体的なアセスメントの実</w:t>
            </w:r>
            <w:r>
              <w:rPr>
                <w:rFonts w:hint="eastAsia"/>
                <w:spacing w:val="19"/>
                <w:w w:val="70"/>
                <w:kern w:val="0"/>
                <w:fitText w:val="7008" w:id="1"/>
              </w:rPr>
              <w:t>施</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p>
            <w:pPr>
              <w:pStyle w:val="0"/>
              <w:rPr>
                <w:rFonts w:hint="default"/>
              </w:rPr>
            </w:pP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0"/>
                <w:w w:val="86"/>
                <w:kern w:val="0"/>
                <w:fitText w:val="7128" w:id="2"/>
              </w:rPr>
              <w:t>①</w:t>
            </w:r>
            <w:r>
              <w:rPr>
                <w:rFonts w:hint="default" w:ascii="ＭＳ 明朝" w:hAnsi="ＭＳ 明朝"/>
                <w:spacing w:val="0"/>
                <w:w w:val="86"/>
                <w:kern w:val="0"/>
                <w:fitText w:val="7128" w:id="2"/>
              </w:rPr>
              <w:t xml:space="preserve"> </w:t>
            </w:r>
            <w:r>
              <w:rPr>
                <w:rFonts w:hint="eastAsia" w:ascii="ＭＳ 明朝" w:hAnsi="ＭＳ 明朝"/>
                <w:spacing w:val="0"/>
                <w:w w:val="86"/>
                <w:kern w:val="0"/>
                <w:fitText w:val="7128" w:id="2"/>
              </w:rPr>
              <w:t>継続したアセスメントを通じた、利用者等の状況変化の早期把握と計画への反</w:t>
            </w:r>
            <w:r>
              <w:rPr>
                <w:rFonts w:hint="eastAsia" w:ascii="ＭＳ 明朝" w:hAnsi="ＭＳ 明朝"/>
                <w:spacing w:val="19"/>
                <w:w w:val="86"/>
                <w:kern w:val="0"/>
                <w:fitText w:val="7128" w:id="2"/>
              </w:rPr>
              <w:t>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spacing w:val="1"/>
                <w:w w:val="78"/>
                <w:kern w:val="0"/>
                <w:fitText w:val="7350" w:id="3"/>
              </w:rPr>
              <w:t>②</w:t>
            </w:r>
            <w:r>
              <w:rPr>
                <w:rFonts w:hint="default"/>
                <w:spacing w:val="1"/>
                <w:w w:val="78"/>
                <w:kern w:val="0"/>
                <w:fitText w:val="7350" w:id="3"/>
              </w:rPr>
              <w:t xml:space="preserve"> </w:t>
            </w:r>
            <w:r>
              <w:rPr>
                <w:rFonts w:hint="eastAsia"/>
                <w:spacing w:val="1"/>
                <w:w w:val="78"/>
                <w:kern w:val="0"/>
                <w:fitText w:val="7350" w:id="3"/>
              </w:rPr>
              <w:t>居宅への訪問を含む、利用者等の暮らし全体に着目したアセスメントの実施と計画への反</w:t>
            </w:r>
            <w:r>
              <w:rPr>
                <w:rFonts w:hint="eastAsia"/>
                <w:spacing w:val="16"/>
                <w:w w:val="78"/>
                <w:kern w:val="0"/>
                <w:fitText w:val="7350" w:id="3"/>
              </w:rPr>
              <w:t>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7"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7"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2314"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2314"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7"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7"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7"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7"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7"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7"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2314"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2314"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2" w:type="pct"/>
            <w:gridSpan w:val="3"/>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4"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5"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78" w:type="pct"/>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2314"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2" w:type="pct"/>
            <w:gridSpan w:val="3"/>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spacing w:val="0"/>
                <w:w w:val="93"/>
                <w:kern w:val="0"/>
                <w:fitText w:val="6996" w:id="4"/>
              </w:rPr>
              <w:t>入院・入所の可能性がある利用者についての、主治医等との対応方針の共</w:t>
            </w:r>
            <w:r>
              <w:rPr>
                <w:rFonts w:hint="eastAsia"/>
                <w:spacing w:val="20"/>
                <w:w w:val="93"/>
                <w:kern w:val="0"/>
                <w:fitText w:val="6996" w:id="4"/>
              </w:rPr>
              <w:t>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59"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p>
            <w:pPr>
              <w:pStyle w:val="0"/>
              <w:rPr>
                <w:rFonts w:hint="default"/>
              </w:rPr>
            </w:pP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spacing w:val="7"/>
                <w:w w:val="76"/>
                <w:kern w:val="0"/>
                <w:fitText w:val="6840" w:id="5"/>
              </w:rPr>
              <w:t>③</w:t>
            </w:r>
            <w:r>
              <w:rPr>
                <w:rFonts w:hint="default"/>
                <w:spacing w:val="7"/>
                <w:w w:val="76"/>
                <w:kern w:val="0"/>
                <w:fitText w:val="6840" w:id="5"/>
              </w:rPr>
              <w:t xml:space="preserve"> </w:t>
            </w:r>
            <w:r>
              <w:rPr>
                <w:rFonts w:hint="eastAsia"/>
                <w:spacing w:val="7"/>
                <w:w w:val="76"/>
                <w:kern w:val="0"/>
                <w:fitText w:val="6840" w:id="5"/>
              </w:rPr>
              <w:t>地域の医療機関等との連携による、急変時・休日夜間等に対応可能な体制の構</w:t>
            </w:r>
            <w:r>
              <w:rPr>
                <w:rFonts w:hint="eastAsia"/>
                <w:spacing w:val="35"/>
                <w:w w:val="76"/>
                <w:kern w:val="0"/>
                <w:fitText w:val="6840" w:id="5"/>
              </w:rPr>
              <w:t>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9"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spacing w:val="1"/>
                <w:w w:val="70"/>
                <w:kern w:val="0"/>
                <w:fitText w:val="7400" w:id="6"/>
              </w:rPr>
              <w:t>①</w:t>
            </w:r>
            <w:r>
              <w:rPr>
                <w:rFonts w:hint="default"/>
                <w:spacing w:val="1"/>
                <w:w w:val="70"/>
                <w:kern w:val="0"/>
                <w:fitText w:val="7400" w:id="6"/>
              </w:rPr>
              <w:t xml:space="preserve"> </w:t>
            </w:r>
            <w:r>
              <w:rPr>
                <w:rFonts w:hint="eastAsia"/>
                <w:spacing w:val="1"/>
                <w:w w:val="70"/>
                <w:kern w:val="0"/>
                <w:fitText w:val="7400" w:id="6"/>
              </w:rPr>
              <w:t>運営推進会議等における、利用者のために必要となる包括的なサポートについての、多職種による検</w:t>
            </w:r>
            <w:r>
              <w:rPr>
                <w:rFonts w:hint="eastAsia"/>
                <w:spacing w:val="20"/>
                <w:w w:val="70"/>
                <w:kern w:val="0"/>
                <w:fitText w:val="7400" w:id="6"/>
              </w:rPr>
              <w:t>討</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2314"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2686" w:type="pct"/>
            <w:gridSpan w:val="11"/>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2314"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686" w:type="pct"/>
            <w:gridSpan w:val="11"/>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2314"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spacing w:val="3"/>
                <w:w w:val="81"/>
                <w:kern w:val="0"/>
                <w:fitText w:val="7035" w:id="7"/>
              </w:rPr>
              <w:t>（２）</w:t>
            </w:r>
            <w:r>
              <w:rPr>
                <w:rFonts w:hint="default" w:ascii="HGPｺﾞｼｯｸE" w:hAnsi="HGPｺﾞｼｯｸE" w:eastAsia="HGPｺﾞｼｯｸE"/>
                <w:spacing w:val="3"/>
                <w:w w:val="81"/>
                <w:kern w:val="0"/>
                <w:fitText w:val="7035" w:id="7"/>
              </w:rPr>
              <w:t xml:space="preserve"> </w:t>
            </w:r>
            <w:r>
              <w:rPr>
                <w:rFonts w:hint="eastAsia" w:ascii="HGPｺﾞｼｯｸE" w:hAnsi="HGPｺﾞｼｯｸE" w:eastAsia="HGPｺﾞｼｯｸE"/>
                <w:spacing w:val="3"/>
                <w:w w:val="81"/>
                <w:kern w:val="0"/>
                <w:fitText w:val="7035" w:id="7"/>
              </w:rPr>
              <w:t>医療ニーズの高い利用者の在宅での療養生活を支える、地域拠点としての機能の発</w:t>
            </w:r>
            <w:r>
              <w:rPr>
                <w:rFonts w:hint="eastAsia" w:ascii="HGPｺﾞｼｯｸE" w:hAnsi="HGPｺﾞｼｯｸE" w:eastAsia="HGPｺﾞｼｯｸE"/>
                <w:spacing w:val="14"/>
                <w:w w:val="81"/>
                <w:kern w:val="0"/>
                <w:fitText w:val="7035" w:id="7"/>
              </w:rPr>
              <w:t>揮</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spacing w:val="1"/>
                <w:w w:val="77"/>
                <w:kern w:val="0"/>
                <w:fitText w:val="6996" w:id="8"/>
              </w:rPr>
              <w:t>看護小規模多機能型居宅介護事業所の登録者以外を含む、地域への訪問看護の積極的な提</w:t>
            </w:r>
            <w:r>
              <w:rPr>
                <w:rFonts w:hint="eastAsia"/>
                <w:spacing w:val="4"/>
                <w:w w:val="77"/>
                <w:kern w:val="0"/>
                <w:fitText w:val="6996" w:id="8"/>
              </w:rPr>
              <w:t>供</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9"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9"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p>
            <w:pPr>
              <w:pStyle w:val="0"/>
              <w:widowControl w:val="1"/>
              <w:jc w:val="left"/>
              <w:rPr>
                <w:rFonts w:hint="default" w:asciiTheme="minorEastAsia" w:hAnsiTheme="minorEastAsia"/>
              </w:rPr>
            </w:pP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spacing w:val="0"/>
                <w:w w:val="80"/>
                <w:kern w:val="0"/>
                <w:fitText w:val="7346" w:id="9"/>
              </w:rPr>
              <w:t>③</w:t>
            </w:r>
            <w:r>
              <w:rPr>
                <w:rFonts w:hint="default" w:asciiTheme="minorEastAsia" w:hAnsiTheme="minorEastAsia"/>
                <w:spacing w:val="0"/>
                <w:w w:val="80"/>
                <w:kern w:val="0"/>
                <w:fitText w:val="7346" w:id="9"/>
              </w:rPr>
              <w:t xml:space="preserve"> </w:t>
            </w:r>
            <w:r>
              <w:rPr>
                <w:rFonts w:hint="eastAsia" w:asciiTheme="minorEastAsia" w:hAnsiTheme="minorEastAsia"/>
                <w:spacing w:val="0"/>
                <w:w w:val="80"/>
                <w:kern w:val="0"/>
                <w:fitText w:val="7346" w:id="9"/>
              </w:rPr>
              <w:t>安心して暮らせるまちづくりに向けた、関係者等への積極的な課題提起、改善策の検討</w:t>
            </w:r>
            <w:r>
              <w:rPr>
                <w:rFonts w:hint="eastAsia" w:asciiTheme="minorEastAsia" w:hAnsiTheme="minorEastAsia"/>
                <w:spacing w:val="35"/>
                <w:w w:val="80"/>
                <w:kern w:val="0"/>
                <w:fitText w:val="7346" w:id="9"/>
              </w:rPr>
              <w:t>等</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9" w:type="pct"/>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p>
            <w:pPr>
              <w:pStyle w:val="0"/>
              <w:widowControl w:val="1"/>
              <w:jc w:val="left"/>
              <w:rPr>
                <w:rFonts w:hint="default" w:asciiTheme="minorEastAsia" w:hAnsiTheme="minorEastAsia"/>
              </w:rPr>
            </w:pP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2"/>
              </w:numPr>
              <w:ind w:leftChars="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bl>
    <w:p>
      <w:pPr>
        <w:pStyle w:val="0"/>
        <w:widowControl w:val="1"/>
        <w:snapToGrid w:val="0"/>
        <w:jc w:val="left"/>
        <w:rPr>
          <w:rFonts w:hint="default" w:ascii="ＭＳ Ｐゴシック" w:hAnsi="ＭＳ Ｐゴシック" w:eastAsia="ＭＳ Ｐゴシック"/>
          <w:sz w:val="24"/>
        </w:rPr>
      </w:pP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1"/>
        <w:gridCol w:w="3052"/>
        <w:gridCol w:w="11"/>
        <w:gridCol w:w="4020"/>
        <w:gridCol w:w="6621"/>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rPr>
            </w:pPr>
            <w:r>
              <w:rPr>
                <w:rFonts w:hint="eastAsia" w:ascii="ＭＳ 明朝" w:hAnsi="ＭＳ 明朝"/>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18"/>
              </w:rPr>
            </w:pPr>
            <w:r>
              <w:rPr>
                <w:rFonts w:hint="eastAsia" w:ascii="ＭＳ 明朝" w:hAnsi="ＭＳ 明朝"/>
              </w:rPr>
              <w:t>評価項目</w:t>
            </w:r>
          </w:p>
        </w:tc>
        <w:tc>
          <w:tcPr>
            <w:tcW w:w="1416"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18"/>
              </w:rPr>
            </w:pPr>
            <w:r>
              <w:rPr>
                <w:rFonts w:hint="eastAsia" w:ascii="ＭＳ 明朝" w:hAnsi="ＭＳ 明朝"/>
              </w:rPr>
              <w:t>実施状況</w:t>
            </w:r>
          </w:p>
        </w:tc>
        <w:tc>
          <w:tcPr>
            <w:tcW w:w="2332"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rPr>
            </w:pPr>
            <w:r>
              <w:rPr>
                <w:rFonts w:hint="eastAsia" w:ascii="ＭＳ 明朝" w:hAnsi="ＭＳ 明朝"/>
              </w:rPr>
              <w:t>評価の視点・</w:t>
            </w:r>
          </w:p>
          <w:p>
            <w:pPr>
              <w:pStyle w:val="0"/>
              <w:snapToGrid w:val="0"/>
              <w:jc w:val="center"/>
              <w:rPr>
                <w:rFonts w:hint="default" w:ascii="ＭＳ 明朝" w:hAnsi="ＭＳ 明朝"/>
              </w:rPr>
            </w:pPr>
            <w:r>
              <w:rPr>
                <w:rFonts w:hint="eastAsia" w:ascii="ＭＳ 明朝" w:hAnsi="ＭＳ 明朝"/>
              </w:rPr>
              <w:t>評価にあたっての補足</w:t>
            </w:r>
          </w:p>
        </w:tc>
      </w:tr>
      <w:tr>
        <w:trPr/>
        <w:tc>
          <w:tcPr>
            <w:tcW w:w="2668" w:type="pct"/>
            <w:gridSpan w:val="4"/>
            <w:tcBorders>
              <w:top w:val="none" w:color="auto" w:sz="0" w:space="0"/>
              <w:left w:val="none" w:color="auto" w:sz="0" w:space="0"/>
              <w:bottom w:val="single" w:color="808080" w:sz="6" w:space="0"/>
              <w:right w:val="double" w:color="auto" w:sz="4" w:space="0"/>
              <w:tl2br w:val="none" w:color="auto" w:sz="0" w:space="0"/>
              <w:tr2bl w:val="none" w:color="auto" w:sz="0" w:space="0"/>
            </w:tcBorders>
            <w:shd w:val="pct5" w:color="auto" w:fill="auto"/>
            <w:vAlign w:val="top"/>
          </w:tcPr>
          <w:p>
            <w:pPr>
              <w:pStyle w:val="0"/>
              <w:rPr>
                <w:rFonts w:hint="default"/>
              </w:rPr>
            </w:pPr>
            <w:r>
              <w:rPr>
                <w:rFonts w:hint="eastAsia" w:ascii="HGPｺﾞｼｯｸE" w:hAnsi="HGPｺﾞｼｯｸE" w:eastAsia="HGPｺﾞｼｯｸE"/>
              </w:rPr>
              <w:t>Ⅲ　結果評価</w:t>
            </w:r>
          </w:p>
        </w:tc>
        <w:tc>
          <w:tcPr>
            <w:tcW w:w="2332"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pct5" w:color="auto" w:fill="auto"/>
            <w:vAlign w:val="top"/>
          </w:tcPr>
          <w:p>
            <w:pPr>
              <w:pStyle w:val="0"/>
              <w:rPr>
                <w:rFonts w:hint="default"/>
              </w:rPr>
            </w:pPr>
          </w:p>
        </w:tc>
      </w:tr>
      <w:tr>
        <w:trPr/>
        <w:tc>
          <w:tcPr>
            <w:tcW w:w="2668" w:type="pct"/>
            <w:gridSpan w:val="4"/>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①計画目標の達成</w:t>
            </w:r>
          </w:p>
        </w:tc>
        <w:tc>
          <w:tcPr>
            <w:tcW w:w="2332"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2332"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20" w:type="pct"/>
            <w:gridSpan w:val="2"/>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2332"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2668" w:type="pct"/>
            <w:gridSpan w:val="4"/>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②在宅での療養生活の継続に対する安心感</w:t>
            </w:r>
          </w:p>
        </w:tc>
        <w:tc>
          <w:tcPr>
            <w:tcW w:w="2332"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2332"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20"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2332"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2332"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20" w:type="pct"/>
            <w:gridSpan w:val="2"/>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2332"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snapToGrid w:val="0"/>
        <w:spacing w:line="40" w:lineRule="exact"/>
        <w:rPr>
          <w:rFonts w:hint="default" w:ascii="ＭＳ Ｐゴシック" w:hAnsi="ＭＳ Ｐゴシック" w:eastAsia="ＭＳ Ｐゴシック"/>
          <w:sz w:val="24"/>
        </w:rPr>
      </w:pPr>
    </w:p>
    <w:sectPr>
      <w:footerReference r:id="rId6" w:type="default"/>
      <w:pgSz w:w="16838" w:h="11906" w:orient="landscape"/>
      <w:pgMar w:top="1134" w:right="1418" w:bottom="1134" w:left="1418" w:header="851" w:footer="851"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6176203"/>
      <w:docPartObj>
        <w:docPartGallery w:val="Page Numbers (Bottom of Page)"/>
        <w:docPartUnique/>
      </w:docPartObj>
    </w:sdtPr>
    <w:sdtEndPr>
      <w:rPr>
        <w:rFonts w:hint="default"/>
      </w:rPr>
    </w:sdtEndPr>
    <w:sdtContent>
      <w:p>
        <w:pPr>
          <w:pStyle w:val="39"/>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19</Pages>
  <Words>48</Words>
  <Characters>8397</Characters>
  <Application>JUST Note</Application>
  <Lines>3023</Lines>
  <Paragraphs>301</Paragraphs>
  <Company>MURC</Company>
  <CharactersWithSpaces>8446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to-suzuki</dc:creator>
  <cp:lastModifiedBy>平 真由美</cp:lastModifiedBy>
  <cp:lastPrinted>2015-02-25T11:21:00Z</cp:lastPrinted>
  <dcterms:created xsi:type="dcterms:W3CDTF">2015-03-24T11:04:00Z</dcterms:created>
  <dcterms:modified xsi:type="dcterms:W3CDTF">2022-09-27T05:08:08Z</dcterms:modified>
  <cp:revision>2</cp:revision>
</cp:coreProperties>
</file>