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31"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gridCol w:w="3344"/>
        <w:gridCol w:w="3344"/>
      </w:tblGrid>
      <w:tr>
        <w:trPr>
          <w:trHeight w:val="400" w:hRule="atLeast"/>
        </w:trPr>
        <w:tc>
          <w:tcPr>
            <w:tcW w:w="10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center"/>
              <w:rPr>
                <w:rFonts w:ascii="游ゴシック Light" w:hAnsi="游ゴシック Light" w:eastAsia="游ゴシック Light"/>
              </w:rPr>
            </w:pPr>
            <w:r>
              <w:rPr>
                <w:rFonts w:ascii="游ゴシック Light" w:hAnsi="游ゴシック Light" w:eastAsia="游ゴシック Light"/>
              </w:rPr>
              <w:t>認定権者記載欄</w:t>
            </w:r>
          </w:p>
        </w:tc>
      </w:tr>
      <w:tr>
        <w:trPr>
          <w:trHeight w:val="238" w:hRule="atLeast"/>
        </w:trPr>
        <w:tc>
          <w:tcPr>
            <w:tcW w:w="3343"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r>
        <w:trPr>
          <w:trHeight w:val="273" w:hRule="atLeast"/>
        </w:trPr>
        <w:tc>
          <w:tcPr>
            <w:tcW w:w="3343"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様式第５－（イ）－①</w:t>
      </w:r>
    </w:p>
    <w:tbl>
      <w:tblPr>
        <w:tblW w:w="9923"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923"/>
      </w:tblGrid>
      <w:tr>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中小企業信用保険法第２条第５項第５号の規定による認定申請書（イ－①）</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年　　月　　日</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いちき串木野市長　殿</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申請者</w:t>
            </w:r>
          </w:p>
          <w:p>
            <w:pPr>
              <w:pStyle w:val="Normal"/>
              <w:suppressAutoHyphens w:val="true"/>
              <w:overflowPunct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color="000000"/>
              </w:rPr>
              <w:t>住　所　　　　　　　　　　　　　　　　　</w:t>
            </w:r>
          </w:p>
          <w:p>
            <w:pPr>
              <w:pStyle w:val="Normal"/>
              <w:suppressAutoHyphens w:val="true"/>
              <w:overflowPunct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氏　名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atLeast" w:line="274"/>
              <w:ind w:left="0" w:right="561" w:hanging="0"/>
              <w:jc w:val="left"/>
              <w:textAlignment w:val="baseline"/>
              <w:rPr/>
            </w:pPr>
            <w:r>
              <w:rPr>
                <w:rFonts w:ascii="ＭＳ ゴシック" w:hAnsi="ＭＳ ゴシック" w:cs="ＭＳ ゴシック" w:eastAsia="ＭＳ ゴシック"/>
                <w:color w:val="000000"/>
                <w:szCs w:val="21"/>
              </w:rPr>
              <w:t>　私は、表に記載する業を営んでいるが、下記のとおり、</w:t>
            </w:r>
            <w:r>
              <w:rPr>
                <w:rFonts w:ascii="ＭＳ ゴシック" w:hAnsi="ＭＳ ゴシック" w:cs="ＭＳ ゴシック" w:eastAsia="ＭＳ ゴシック"/>
                <w:color w:val="000000"/>
                <w:szCs w:val="21"/>
                <w:u w:val="single" w:color="000000"/>
              </w:rPr>
              <w:t>　　　　　　　　（注２）</w:t>
            </w:r>
            <w:r>
              <w:rPr>
                <w:rFonts w:ascii="ＭＳ ゴシック" w:hAnsi="ＭＳ ゴシック" w:cs="ＭＳ ゴシック" w:eastAsia="ＭＳ ゴシック"/>
                <w:color w:val="000000"/>
                <w:szCs w:val="21"/>
              </w:rPr>
              <w:t>が生じているため、経営の安定に支障が生じておりますので、中小企業信用保険法第２条第５項第５号の規定に基づき認定されるようお願いします。</w:t>
            </w:r>
          </w:p>
          <w:p>
            <w:pPr>
              <w:pStyle w:val="Closing"/>
              <w:jc w:val="left"/>
              <w:rPr/>
            </w:pPr>
            <w:r>
              <w:rPr/>
              <w:t>（表</w:t>
            </w:r>
            <w:r>
              <w:rPr/>
              <w:t>)</w:t>
            </w:r>
          </w:p>
          <w:tbl>
            <w:tblPr>
              <w:tblW w:w="9493" w:type="dxa"/>
              <w:jc w:val="left"/>
              <w:tblInd w:w="0"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78" w:type="dxa"/>
                <w:bottom w:w="0" w:type="dxa"/>
                <w:right w:w="108" w:type="dxa"/>
              </w:tblCellMar>
            </w:tblPr>
            <w:tblGrid>
              <w:gridCol w:w="3164"/>
              <w:gridCol w:w="3164"/>
              <w:gridCol w:w="3165"/>
            </w:tblGrid>
            <w:tr>
              <w:trPr>
                <w:trHeight w:val="372" w:hRule="atLeast"/>
              </w:trPr>
              <w:tc>
                <w:tcPr>
                  <w:tcW w:w="3164"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r>
              <w:trPr>
                <w:trHeight w:val="388" w:hRule="atLeast"/>
              </w:trPr>
              <w:tc>
                <w:tcPr>
                  <w:tcW w:w="3164"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bl>
          <w:p>
            <w:pPr>
              <w:pStyle w:val="Normal"/>
              <w:suppressAutoHyphens w:val="true"/>
              <w:overflowPunct w:val="true"/>
              <w:spacing w:lineRule="exact" w:line="240"/>
              <w:ind w:left="0" w:right="0" w:firstLine="2"/>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t>※</w:t>
            </w:r>
            <w:r>
              <w:rPr>
                <w:rFonts w:ascii="ＭＳ ゴシック" w:hAnsi="ＭＳ ゴシック" w:eastAsia="ＭＳ ゴシック"/>
                <w:color w:val="000000"/>
                <w:spacing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atLeast" w:line="274"/>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記</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売上高等</w:t>
            </w:r>
          </w:p>
          <w:p>
            <w:pPr>
              <w:pStyle w:val="Normal"/>
              <w:suppressAutoHyphens w:val="true"/>
              <w:overflowPunct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Ｂ－Ａ</w:t>
            </w:r>
          </w:p>
          <w:p>
            <w:pPr>
              <w:pStyle w:val="Normal"/>
              <w:suppressAutoHyphens w:val="true"/>
              <w:overflowPunct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Ｂ   </w:t>
            </w:r>
            <w:r>
              <w:rPr>
                <w:rFonts w:eastAsia="ＭＳ ゴシック" w:cs="ＭＳ ゴシック" w:ascii="ＭＳ ゴシック" w:hAnsi="ＭＳ ゴシック"/>
                <w:color w:val="000000"/>
                <w:szCs w:val="21"/>
              </w:rPr>
              <w:t xml:space="preserve">×100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減少率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atLeast" w:line="274"/>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Ａ：申込時点における最近３か月間の売上高等</w:t>
            </w:r>
            <w:r>
              <w:rPr>
                <w:rFonts w:ascii="ＭＳ ゴシック" w:hAnsi="ＭＳ ゴシック" w:eastAsia="ＭＳ ゴシック"/>
                <w:color w:val="000000"/>
                <w:spacing w:val="16"/>
                <w:szCs w:val="21"/>
              </w:rPr>
              <w:t xml:space="preserve">　　　 </w:t>
            </w:r>
            <w:r>
              <w:rPr>
                <w:rFonts w:ascii="ＭＳ ゴシック" w:hAnsi="ＭＳ ゴシック" w:cs="ＭＳ ゴシック" w:eastAsia="ＭＳ ゴシック"/>
                <w:color w:val="000000"/>
                <w:szCs w:val="21"/>
                <w:u w:val="single" w:color="000000"/>
              </w:rPr>
              <w:t>　　 　　　　　円</w:t>
            </w:r>
            <w:r>
              <w:rPr>
                <w:rFonts w:ascii="ＭＳ ゴシック" w:hAnsi="ＭＳ ゴシック" w:cs="ＭＳ ゴシック" w:eastAsia="ＭＳ ゴシック"/>
                <w:color w:val="000000"/>
                <w:szCs w:val="21"/>
              </w:rPr>
              <w:t>（注３）</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atLeast" w:line="274"/>
              <w:jc w:val="left"/>
              <w:textAlignment w:val="baseline"/>
              <w:rPr/>
            </w:pPr>
            <w:r>
              <w:rPr>
                <w:rFonts w:ascii="ＭＳ ゴシック" w:hAnsi="ＭＳ ゴシック" w:cs="ＭＳ ゴシック" w:eastAsia="ＭＳ ゴシック"/>
                <w:color w:val="000000"/>
                <w:szCs w:val="21"/>
              </w:rPr>
              <w:t>　　Ｂ：Ａの期間に対応する前年等の３か月間の売上高等　</w:t>
            </w:r>
            <w:r>
              <w:rPr>
                <w:rFonts w:ascii="ＭＳ ゴシック" w:hAnsi="ＭＳ ゴシック" w:cs="ＭＳ ゴシック" w:eastAsia="ＭＳ ゴシック"/>
                <w:color w:val="000000"/>
                <w:szCs w:val="21"/>
                <w:u w:val="single" w:color="000000"/>
              </w:rPr>
              <w:t>　　 　　　　　円</w:t>
            </w:r>
            <w:r>
              <w:rPr>
                <w:rFonts w:ascii="ＭＳ ゴシック" w:hAnsi="ＭＳ ゴシック" w:cs="ＭＳ ゴシック" w:eastAsia="ＭＳ ゴシック"/>
                <w:color w:val="000000"/>
                <w:szCs w:val="21"/>
              </w:rPr>
              <w:t xml:space="preserve"> </w:t>
            </w:r>
            <w:r>
              <w:rPr>
                <w:rFonts w:eastAsia="ＭＳ ゴシック" w:cs="ＭＳ ゴシック" w:ascii="ＭＳ ゴシック" w:hAnsi="ＭＳ ゴシック"/>
                <w:color w:val="000000"/>
                <w:szCs w:val="21"/>
              </w:rPr>
              <w:t>(</w:t>
            </w:r>
            <w:r>
              <w:rPr>
                <w:rFonts w:ascii="ＭＳ ゴシック" w:hAnsi="ＭＳ ゴシック" w:cs="ＭＳ ゴシック" w:eastAsia="ＭＳ ゴシック"/>
                <w:color w:val="000000"/>
                <w:szCs w:val="21"/>
              </w:rPr>
              <w:t>注３）</w:t>
            </w:r>
          </w:p>
        </w:tc>
      </w:tr>
    </w:tbl>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（注１）本様式は、１つの指定業種に属する事業のみを営んでいる場合、又は営んでいる複数の事業が全て指定業種に属する場合に使用する。</w:t>
      </w:r>
    </w:p>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（注２）「販売数量の減少」又は「売上高の減少」等を記入する。</w:t>
      </w:r>
    </w:p>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（注３）企業全体の売上高等を記載。</w:t>
      </w:r>
    </w:p>
    <w:p>
      <w:pPr>
        <w:pStyle w:val="Normal"/>
        <w:suppressAutoHyphens w:val="true"/>
        <w:spacing w:lineRule="exact" w:line="240"/>
        <w:ind w:left="1230" w:right="0" w:hanging="123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（留意事項）</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①　本認定とは別に、金融機関及び信用保証協会による金融上の審査があります。</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atLeast" w:line="366"/>
        <w:ind w:left="246" w:right="0" w:hanging="246"/>
        <w:jc w:val="right"/>
        <w:rPr>
          <w:rFonts w:ascii="ＭＳ ゴシック" w:hAnsi="ＭＳ ゴシック" w:eastAsia="ＭＳ ゴシック"/>
          <w:sz w:val="24"/>
        </w:rPr>
      </w:pPr>
      <w:r>
        <mc:AlternateContent>
          <mc:Choice Requires="wps">
            <w:drawing>
              <wp:anchor behindDoc="0" distT="0" distB="9525" distL="114300" distR="114300" simplePos="0" locked="0" layoutInCell="1" allowOverlap="1" relativeHeight="2">
                <wp:simplePos x="0" y="0"/>
                <wp:positionH relativeFrom="column">
                  <wp:posOffset>3810</wp:posOffset>
                </wp:positionH>
                <wp:positionV relativeFrom="paragraph">
                  <wp:posOffset>57150</wp:posOffset>
                </wp:positionV>
                <wp:extent cx="6153785" cy="1572260"/>
                <wp:effectExtent l="0" t="0" r="0" b="0"/>
                <wp:wrapNone/>
                <wp:docPr id="1" name="正方形/長方形 1"/>
                <a:graphic xmlns:a="http://schemas.openxmlformats.org/drawingml/2006/main">
                  <a:graphicData uri="http://schemas.microsoft.com/office/word/2010/wordprocessingShape">
                    <wps:wsp>
                      <wps:cNvSpPr/>
                      <wps:spPr>
                        <a:xfrm>
                          <a:off x="0" y="0"/>
                          <a:ext cx="6153120" cy="1571760"/>
                        </a:xfrm>
                        <a:prstGeom prst="rect">
                          <a:avLst/>
                        </a:prstGeom>
                        <a:solidFill>
                          <a:srgbClr val="ffffff"/>
                        </a:solidFill>
                        <a:ln w="12600">
                          <a:noFill/>
                        </a:ln>
                      </wps:spPr>
                      <wps:style>
                        <a:lnRef idx="0"/>
                        <a:fillRef idx="0"/>
                        <a:effectRef idx="0"/>
                        <a:fontRef idx="minor"/>
                      </wps:style>
                      <wps:txbx>
                        <w:txbxContent>
                          <w:p>
                            <w:pPr>
                              <w:pStyle w:val="FrameContents"/>
                              <w:suppressAutoHyphens w:val="true"/>
                              <w:ind w:left="0" w:right="105"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い串水商　第　　　　号</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申請のとおり、相違ないことを認定します</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（注）本認定書の有効期間：令和　年　月　日から令和　年　月　日まで。</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w:t>
                            </w:r>
                          </w:p>
                          <w:p>
                            <w:pPr>
                              <w:pStyle w:val="FrameContents"/>
                              <w:suppressAutoHyphens w:val="true"/>
                              <w:ind w:left="0" w:right="0" w:firstLine="567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いちき串木野市長　中　屋　謙　治</w:t>
                            </w:r>
                          </w:p>
                          <w:p>
                            <w:pPr>
                              <w:pStyle w:val="FrameContents"/>
                              <w:suppressAutoHyphens w:val="true"/>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FrameContents"/>
                              <w:jc w:val="center"/>
                              <w:rPr/>
                            </w:pPr>
                            <w:r>
                              <w:rPr/>
                            </w:r>
                          </w:p>
                        </w:txbxContent>
                      </wps:txbx>
                      <wps:bodyPr anchor="ctr">
                        <a:noAutofit/>
                      </wps:bodyPr>
                    </wps:wsp>
                  </a:graphicData>
                </a:graphic>
              </wp:anchor>
            </w:drawing>
          </mc:Choice>
          <mc:Fallback>
            <w:pict>
              <v:rect id="shape_0" ID="正方形/長方形 1" fillcolor="white" stroked="f" style="position:absolute;margin-left:0.3pt;margin-top:4.5pt;width:484.45pt;height:123.7pt">
                <w10:wrap type="square"/>
                <v:fill o:detectmouseclick="t" type="solid" color2="black"/>
                <v:stroke color="#3465a4" weight="12600" joinstyle="miter" endcap="flat"/>
                <v:textbox>
                  <w:txbxContent>
                    <w:p>
                      <w:pPr>
                        <w:pStyle w:val="FrameContents"/>
                        <w:suppressAutoHyphens w:val="true"/>
                        <w:ind w:left="0" w:right="105"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い串水商　第　　　　号</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申請のとおり、相違ないことを認定します</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（注）本認定書の有効期間：令和　年　月　日から令和　年　月　日まで。</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w:t>
                      </w:r>
                    </w:p>
                    <w:p>
                      <w:pPr>
                        <w:pStyle w:val="FrameContents"/>
                        <w:suppressAutoHyphens w:val="true"/>
                        <w:ind w:left="0" w:right="0" w:firstLine="567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いちき串木野市長　中　屋　謙　治</w:t>
                      </w:r>
                    </w:p>
                    <w:p>
                      <w:pPr>
                        <w:pStyle w:val="FrameContents"/>
                        <w:suppressAutoHyphens w:val="true"/>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FrameContents"/>
                        <w:jc w:val="center"/>
                        <w:rPr/>
                      </w:pPr>
                      <w:r>
                        <w:rPr/>
                      </w:r>
                    </w:p>
                  </w:txbxContent>
                </v:textbox>
              </v:rect>
            </w:pict>
          </mc:Fallback>
        </mc:AlternateContent>
      </w:r>
      <w:r>
        <w:rPr>
          <w:rFonts w:ascii="ＭＳ ゴシック" w:hAnsi="ＭＳ ゴシック" w:eastAsia="ＭＳ ゴシック"/>
          <w:sz w:val="24"/>
        </w:rPr>
        <w:t>　</w:t>
      </w:r>
    </w:p>
    <w:p>
      <w:pPr>
        <w:pStyle w:val="Normal"/>
        <w:widowControl/>
        <w:jc w:val="right"/>
        <w:rPr>
          <w:rFonts w:ascii="ＭＳ ゴシック" w:hAnsi="ＭＳ ゴシック" w:eastAsia="ＭＳ ゴシック"/>
          <w:sz w:val="24"/>
        </w:rPr>
      </w:pPr>
      <w:r>
        <w:rPr>
          <w:rFonts w:eastAsia="ＭＳ ゴシック" w:ascii="ＭＳ ゴシック" w:hAnsi="ＭＳ ゴシック"/>
          <w:sz w:val="24"/>
        </w:rPr>
      </w:r>
    </w:p>
    <w:p>
      <w:pPr>
        <w:pStyle w:val="Normal"/>
        <w:suppressAutoHyphens w:val="true"/>
        <w:spacing w:lineRule="exact" w:line="260"/>
        <w:jc w:val="left"/>
        <w:textAlignment w:val="baseline"/>
        <w:rPr/>
      </w:pPr>
      <w:r>
        <w:rPr/>
      </w:r>
    </w:p>
    <w:sectPr>
      <w:type w:val="nextPage"/>
      <w:pgSz w:w="11906" w:h="16838"/>
      <w:pgMar w:left="1134" w:right="1134" w:header="0"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ゴシック">
    <w:charset w:val="01"/>
    <w:family w:val="roman"/>
    <w:pitch w:val="variable"/>
  </w:font>
  <w:font w:name="Liberation Sans">
    <w:altName w:val="Arial"/>
    <w:charset w:val="01"/>
    <w:family w:val="swiss"/>
    <w:pitch w:val="variable"/>
  </w:font>
  <w:font w:name="游ゴシック Light">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Times New Roman" w:ascii="游明朝" w:hAnsi="游明朝" w:eastAsia="游明朝"/>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結語 (文字)"/>
    <w:basedOn w:val="DefaultParagraphFont"/>
    <w:qFormat/>
    <w:rPr>
      <w:rFonts w:ascii="ＭＳ ゴシック" w:hAnsi="ＭＳ ゴシック" w:eastAsia="ＭＳ ゴシック" w:cs="Times New Roman"/>
      <w:color w:val="000000"/>
      <w:szCs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rFonts w:cs="DejaVu Sans"/>
      <w:szCs w:val="22"/>
    </w:rPr>
  </w:style>
  <w:style w:type="paragraph" w:styleId="Footer">
    <w:name w:val="Footer"/>
    <w:basedOn w:val="Normal"/>
    <w:pPr>
      <w:tabs>
        <w:tab w:val="center" w:pos="4252" w:leader="none"/>
        <w:tab w:val="right" w:pos="8504" w:leader="none"/>
      </w:tabs>
      <w:snapToGrid w:val="false"/>
    </w:pPr>
    <w:rPr>
      <w:rFonts w:cs="DejaVu Sans"/>
      <w:szCs w:val="22"/>
    </w:rPr>
  </w:style>
  <w:style w:type="paragraph" w:styleId="Closing">
    <w:name w:val="Closing"/>
    <w:basedOn w:val="Normal"/>
    <w:qFormat/>
    <w:pPr>
      <w:jc w:val="right"/>
    </w:pPr>
    <w:rPr>
      <w:rFonts w:ascii="ＭＳ ゴシック" w:hAnsi="ＭＳ ゴシック" w:eastAsia="ＭＳ ゴシック"/>
      <w:color w:val="000000"/>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
  <Pages>1</Pages>
  <Words>652</Words>
  <Characters>655</Characters>
  <CharactersWithSpaces>1006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2023-06-23T04:39:00Z</dcterms:created>
  <dc:creator>121水産商工課 商工係</dc:creator>
  <dc:description/>
  <dc:language>en-US</dc:language>
  <cp:lastModifiedBy>121水産商工課 商工係</cp:lastModifiedBy>
  <dcterms:modified xsi:type="dcterms:W3CDTF">2023-06-23T04:39:00Z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