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総合運動公園体育施設使用料減免申請書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いちき串木野市総合運動公園体育施設条例第</w:t>
      </w:r>
      <w:r>
        <w:rPr>
          <w:rFonts w:hint="default"/>
        </w:rPr>
        <w:t>12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いちき串木野市多目的グラウンド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202</Words>
  <Characters>203</Characters>
  <Application>JUST Note</Application>
  <Lines>0</Lines>
  <Paragraphs>30</Paragraphs>
  <Company>制作技術部</Company>
  <CharactersWithSpaces>295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2021-04-21T01:41:00Z</cp:lastPrinted>
  <dcterms:created xsi:type="dcterms:W3CDTF">2021-02-24T00:21:00Z</dcterms:created>
  <dcterms:modified xsi:type="dcterms:W3CDTF">2021-08-26T05:15:38Z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